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3" w:rsidRDefault="00843A83" w:rsidP="00843A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A83" w:rsidRDefault="00843A83" w:rsidP="00843A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62F26F65" wp14:editId="09A85FB8">
            <wp:extent cx="5067298" cy="1571625"/>
            <wp:effectExtent l="0" t="0" r="635" b="0"/>
            <wp:docPr id="5" name="Obraz 5" descr="files/artykuly/logo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/artykuly/logo[5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25" cy="157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83" w:rsidRDefault="00843A83" w:rsidP="00843A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A83" w:rsidRDefault="00843A83" w:rsidP="00843A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A83" w:rsidRDefault="00843A83" w:rsidP="00843A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A83" w:rsidRDefault="00843A83" w:rsidP="00843A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38F">
        <w:rPr>
          <w:rFonts w:ascii="Times New Roman" w:hAnsi="Times New Roman" w:cs="Times New Roman"/>
          <w:b/>
          <w:sz w:val="40"/>
          <w:szCs w:val="40"/>
        </w:rPr>
        <w:t xml:space="preserve">ANALIZA STANU GOSPODARKI ODPADAMI KOMUNALNYMI NA TERENIE GMINY ISTEBNA </w:t>
      </w:r>
      <w:r>
        <w:rPr>
          <w:rFonts w:ascii="Times New Roman" w:hAnsi="Times New Roman" w:cs="Times New Roman"/>
          <w:b/>
          <w:sz w:val="40"/>
          <w:szCs w:val="40"/>
        </w:rPr>
        <w:t>W</w:t>
      </w:r>
      <w:r w:rsidR="00DB3893">
        <w:rPr>
          <w:rFonts w:ascii="Times New Roman" w:hAnsi="Times New Roman" w:cs="Times New Roman"/>
          <w:b/>
          <w:sz w:val="40"/>
          <w:szCs w:val="40"/>
        </w:rPr>
        <w:t xml:space="preserve"> 2015</w:t>
      </w:r>
      <w:r w:rsidRPr="009F138F">
        <w:rPr>
          <w:rFonts w:ascii="Times New Roman" w:hAnsi="Times New Roman" w:cs="Times New Roman"/>
          <w:b/>
          <w:sz w:val="40"/>
          <w:szCs w:val="40"/>
        </w:rPr>
        <w:t xml:space="preserve"> ROK</w:t>
      </w:r>
      <w:r>
        <w:rPr>
          <w:rFonts w:ascii="Times New Roman" w:hAnsi="Times New Roman" w:cs="Times New Roman"/>
          <w:b/>
          <w:sz w:val="40"/>
          <w:szCs w:val="40"/>
        </w:rPr>
        <w:t>U</w:t>
      </w:r>
    </w:p>
    <w:p w:rsidR="00843A83" w:rsidRDefault="00843A83" w:rsidP="00843A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A83" w:rsidRDefault="00843A83" w:rsidP="00843A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A83" w:rsidRDefault="00843A83" w:rsidP="00843A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A83" w:rsidRDefault="00843A83" w:rsidP="00843A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A83" w:rsidRDefault="00843A83" w:rsidP="00843A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A83" w:rsidRDefault="00843A83" w:rsidP="00843A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A83" w:rsidRDefault="00DB3893" w:rsidP="00843A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lang w:eastAsia="pl-PL"/>
        </w:rPr>
        <w:t>Istebna, kwiecień 2016</w:t>
      </w:r>
      <w:r w:rsidR="00843A83" w:rsidRPr="009C27E3">
        <w:rPr>
          <w:rFonts w:ascii="Times New Roman" w:hAnsi="Times New Roman" w:cs="Times New Roman"/>
          <w:noProof/>
          <w:lang w:eastAsia="pl-PL"/>
        </w:rPr>
        <w:t xml:space="preserve"> r.</w:t>
      </w:r>
    </w:p>
    <w:p w:rsidR="00843A83" w:rsidRDefault="00843A83" w:rsidP="00843A8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 I ZAŁOŻENIA ANALIZY </w:t>
      </w:r>
    </w:p>
    <w:p w:rsidR="00571D8C" w:rsidRPr="00571D8C" w:rsidRDefault="00571D8C" w:rsidP="00571D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oczna analiza stanu gospodarki odpadami komunalnymi sporządzana jest zgodnie 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8F">
        <w:rPr>
          <w:rFonts w:ascii="Times New Roman" w:hAnsi="Times New Roman" w:cs="Times New Roman"/>
          <w:sz w:val="24"/>
          <w:szCs w:val="24"/>
        </w:rPr>
        <w:t>z art.3 ust.2 pkt 10 ustawy z dnia 13 września 1996 r. o utrzymaniu czystości i porządku w gminach (Dz.U. z 2013r. poz.1399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D8C">
        <w:rPr>
          <w:rFonts w:ascii="Times New Roman" w:hAnsi="Times New Roman" w:cs="Times New Roman"/>
          <w:sz w:val="24"/>
          <w:szCs w:val="24"/>
        </w:rPr>
        <w:t xml:space="preserve"> Analizy dokonuje się </w:t>
      </w:r>
      <w:r>
        <w:rPr>
          <w:rFonts w:ascii="Times New Roman" w:hAnsi="Times New Roman" w:cs="Times New Roman"/>
          <w:sz w:val="24"/>
          <w:szCs w:val="24"/>
        </w:rPr>
        <w:t>w celu weryfikacji możliwości technicznych  i organizacyjnych w za</w:t>
      </w:r>
      <w:r w:rsidR="00571D8C">
        <w:rPr>
          <w:rFonts w:ascii="Times New Roman" w:hAnsi="Times New Roman" w:cs="Times New Roman"/>
          <w:sz w:val="24"/>
          <w:szCs w:val="24"/>
        </w:rPr>
        <w:t>kresie gospodarowania odpadami . M</w:t>
      </w:r>
      <w:r>
        <w:rPr>
          <w:rFonts w:ascii="Times New Roman" w:hAnsi="Times New Roman" w:cs="Times New Roman"/>
          <w:sz w:val="24"/>
          <w:szCs w:val="24"/>
        </w:rPr>
        <w:t>ożliwości przetwarzania zmieszanych odpadów   komunalnych,  odpadów   zielonych    oraz     pozostałości   z     sortowania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pozostałości z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biologicznego przetwarzania odpadów komunalnych przeznaczonych    do     składowania ,     potrzeb    inwestycyjnych     związanych </w:t>
      </w:r>
    </w:p>
    <w:p w:rsidR="00843A83" w:rsidRPr="00E3074A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gospodarowaniem  odpadami komunalnymi,  kosztów poniesionych w związku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odbieraniem , odzyskiem , recyklingiem i unieszkodliwianiem odpadów komunalnych. 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ona również dostarczyć informacji dotyczących liczby mieszkańców, ilości odpadów komunalnych wytwarzanych na terenie gminy. Analiza obejmuje okres funkcjonowania systemu gospodarowania odpadami komunalnymi na terenie G</w:t>
      </w:r>
      <w:r w:rsidR="00DB3893">
        <w:rPr>
          <w:rFonts w:ascii="Times New Roman" w:hAnsi="Times New Roman" w:cs="Times New Roman"/>
          <w:sz w:val="24"/>
          <w:szCs w:val="24"/>
        </w:rPr>
        <w:t>miny Istebna od 01 stycznia 2015 r. do 31 grudnia 2015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43A83" w:rsidRDefault="00843A83" w:rsidP="00843A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SYSTEM GOSPODAROWANIA ODPADAMI KOMUNALNYMI NA TERENIE GMINY ISTEBNA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Nowym systemem gospodarowania odpadami komunalnymi na terenie Gminy Istebna zostały objęte od 1 lipca 2013 . nieruchomości zamieszkałe przez mieszkańców zgodnie z art.6c ust.1 ustawy </w:t>
      </w:r>
      <w:r w:rsidRPr="009F138F">
        <w:rPr>
          <w:rFonts w:ascii="Times New Roman" w:hAnsi="Times New Roman" w:cs="Times New Roman"/>
          <w:sz w:val="24"/>
          <w:szCs w:val="24"/>
        </w:rPr>
        <w:t>z dnia 13 września 1996 r. o utrzymaniu czystości i porządku w gminach (Dz.U. z 2013r. poz.1399 ze zm.)</w:t>
      </w:r>
      <w:r>
        <w:rPr>
          <w:rFonts w:ascii="Times New Roman" w:hAnsi="Times New Roman" w:cs="Times New Roman"/>
          <w:sz w:val="24"/>
          <w:szCs w:val="24"/>
        </w:rPr>
        <w:t xml:space="preserve"> . Pozostałe nieruchomości niezamieszkałe, miejsca prowadzenia działalności gospodarczej oraz budynki użyteczności publicznej zobowiązane są do posiadania umowy na odbiór odpadów z firmą wpisaną do rejestru działalności regulowanej, prowadzonego przez Wójta Gminy Istebna.</w:t>
      </w:r>
    </w:p>
    <w:p w:rsidR="009430E1" w:rsidRDefault="009430E1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funkcjonowania gminnego systemu gospodarki odpadami komunalnymi określają szczegółowo następujące akty :</w:t>
      </w:r>
    </w:p>
    <w:p w:rsidR="009430E1" w:rsidRDefault="009430E1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Regulamin utrzymania czystości i porządku na terenie Gminy Istebna – Uchwała NR IX/59/2015/ Rady Gminy Istebna z dnia 07 lipca 2015 r.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Dz.Urz.Woj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Śl.z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r.poz</w:t>
      </w:r>
      <w:proofErr w:type="spellEnd"/>
      <w:r>
        <w:rPr>
          <w:rFonts w:ascii="Times New Roman" w:hAnsi="Times New Roman" w:cs="Times New Roman"/>
          <w:sz w:val="24"/>
          <w:szCs w:val="24"/>
        </w:rPr>
        <w:t>. 3990),</w:t>
      </w:r>
    </w:p>
    <w:p w:rsidR="009430E1" w:rsidRDefault="009430E1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w sprawie szczegółowego sposobu i zakresu świadczenia usług w zakresie odbierania i zagospodarowania tych odpadów – Uchwała NR IX/60/2015 Rady Gminy Istebna z dnia 07</w:t>
      </w:r>
      <w:r w:rsidR="00A60087">
        <w:rPr>
          <w:rFonts w:ascii="Times New Roman" w:hAnsi="Times New Roman" w:cs="Times New Roman"/>
          <w:sz w:val="24"/>
          <w:szCs w:val="24"/>
        </w:rPr>
        <w:t xml:space="preserve"> lipca 2015 r.(</w:t>
      </w:r>
      <w:proofErr w:type="spellStart"/>
      <w:r w:rsidR="00A60087">
        <w:rPr>
          <w:rFonts w:ascii="Times New Roman" w:hAnsi="Times New Roman" w:cs="Times New Roman"/>
          <w:sz w:val="24"/>
          <w:szCs w:val="24"/>
        </w:rPr>
        <w:t>Dz.Urz.Woj</w:t>
      </w:r>
      <w:proofErr w:type="spellEnd"/>
      <w:r w:rsidR="00A60087">
        <w:rPr>
          <w:rFonts w:ascii="Times New Roman" w:hAnsi="Times New Roman" w:cs="Times New Roman"/>
          <w:sz w:val="24"/>
          <w:szCs w:val="24"/>
        </w:rPr>
        <w:t>. Ś</w:t>
      </w:r>
      <w:r w:rsidR="00A874B8">
        <w:rPr>
          <w:rFonts w:ascii="Times New Roman" w:hAnsi="Times New Roman" w:cs="Times New Roman"/>
          <w:sz w:val="24"/>
          <w:szCs w:val="24"/>
        </w:rPr>
        <w:t>l. z</w:t>
      </w:r>
      <w:r>
        <w:rPr>
          <w:rFonts w:ascii="Times New Roman" w:hAnsi="Times New Roman" w:cs="Times New Roman"/>
          <w:sz w:val="24"/>
          <w:szCs w:val="24"/>
        </w:rPr>
        <w:t xml:space="preserve"> 2015 r. poz. 3991),</w:t>
      </w:r>
    </w:p>
    <w:p w:rsidR="009430E1" w:rsidRDefault="00F523E9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Uchwała w sprawie określenia terminu,</w:t>
      </w:r>
      <w:r w:rsidR="0078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częstotliwości i trybu uiszczania opłat za gospodarowanie odpadami komunalnymi – Uchwała NR XIII/93/2015  Rady Gminy Istebna z dnia 30 listopada 2015 r.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</w:rPr>
        <w:t>. Woj. Śl. Z 2015 r. poz. 6989),</w:t>
      </w:r>
    </w:p>
    <w:p w:rsidR="00F523E9" w:rsidRDefault="00F523E9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w sprawie ustalenia wzoru deklaracji o wysokości opłaty za gospodarowanie odpadami komunalnymi składanej przez właściciela nieruchomości-Uchwała Nr XXII/204/2012 Rady Gminy Istebna z dnia 28 listopada 2012r.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Dz.Urz.Woj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Śl.z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r. poz. 657),</w:t>
      </w:r>
    </w:p>
    <w:p w:rsidR="00F523E9" w:rsidRDefault="00F523E9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w sprawie wyboru metody ustalenia opłaty za gospodarowanie odpadami</w:t>
      </w:r>
      <w:r w:rsidR="007851B0">
        <w:rPr>
          <w:rFonts w:ascii="Times New Roman" w:hAnsi="Times New Roman" w:cs="Times New Roman"/>
          <w:sz w:val="24"/>
          <w:szCs w:val="24"/>
        </w:rPr>
        <w:t xml:space="preserve"> komunalnymi – Uchwała NRXXII/203/2012 Rady Gminy Istebna z dnia 28 listopada 2012 r. (</w:t>
      </w:r>
      <w:proofErr w:type="spellStart"/>
      <w:r w:rsidR="007851B0">
        <w:rPr>
          <w:rFonts w:ascii="Times New Roman" w:hAnsi="Times New Roman" w:cs="Times New Roman"/>
          <w:sz w:val="24"/>
          <w:szCs w:val="24"/>
        </w:rPr>
        <w:t>Dz.Urz.Woj</w:t>
      </w:r>
      <w:proofErr w:type="spellEnd"/>
      <w:r w:rsidR="007851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51B0">
        <w:rPr>
          <w:rFonts w:ascii="Times New Roman" w:hAnsi="Times New Roman" w:cs="Times New Roman"/>
          <w:sz w:val="24"/>
          <w:szCs w:val="24"/>
        </w:rPr>
        <w:t>Śl.z</w:t>
      </w:r>
      <w:proofErr w:type="spellEnd"/>
      <w:r w:rsidR="007851B0">
        <w:rPr>
          <w:rFonts w:ascii="Times New Roman" w:hAnsi="Times New Roman" w:cs="Times New Roman"/>
          <w:sz w:val="24"/>
          <w:szCs w:val="24"/>
        </w:rPr>
        <w:t xml:space="preserve"> 2013 r. poz. 656).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dniu 5 czerwca 2014 r. w trybie przetargu nieograniczonego w Gminie Istebna został wyłoniony odbiorca odpadów komunalnych od właścicieli nieruchomości zamieszkałych- EKOPLAST – PRODUKT Sp.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43-400 Cieszyn ,ul.3 Maja 18. Umowa w zakresie odbierania i zagospodarowani</w:t>
      </w:r>
      <w:r w:rsidR="00571D8C">
        <w:rPr>
          <w:rFonts w:ascii="Times New Roman" w:hAnsi="Times New Roman" w:cs="Times New Roman"/>
          <w:sz w:val="24"/>
          <w:szCs w:val="24"/>
        </w:rPr>
        <w:t>a odpadów komunalnych obowiązywała</w:t>
      </w:r>
      <w:r>
        <w:rPr>
          <w:rFonts w:ascii="Times New Roman" w:hAnsi="Times New Roman" w:cs="Times New Roman"/>
          <w:sz w:val="24"/>
          <w:szCs w:val="24"/>
        </w:rPr>
        <w:t xml:space="preserve"> od 1 lipca 2014 r. do 31 gru</w:t>
      </w:r>
      <w:r w:rsidR="00571D8C">
        <w:rPr>
          <w:rFonts w:ascii="Times New Roman" w:hAnsi="Times New Roman" w:cs="Times New Roman"/>
          <w:sz w:val="24"/>
          <w:szCs w:val="24"/>
        </w:rPr>
        <w:t>dnia 2015 r. W ramach powyższej umowy</w:t>
      </w:r>
      <w:r>
        <w:rPr>
          <w:rFonts w:ascii="Times New Roman" w:hAnsi="Times New Roman" w:cs="Times New Roman"/>
          <w:sz w:val="24"/>
          <w:szCs w:val="24"/>
        </w:rPr>
        <w:t xml:space="preserve"> nieruchomości zamieszkałe zostały wyposażone w pojemniki oraz worki na odpady. Odpady gromadzi się w zabudowie jednorodzinnej w systemie workowym, a w zabudowie wielorodzinnej w systemie pojemników.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Odpady komunalne z terenu Gminy Istebna odbierane są w postaci zmieszanej i selektywnej.  Selektywnie zebrane odpady komunalne mieszkańcy gromadzą w kolorowych workach: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niebieski – papier, tektura i tekstylia,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-żółtym- tworzywa sztuczne ,opakowania z tworzyw sztucznych, metale, opakowania wielomateriałowe,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zielonym – szkło białe i kolorowe oraz opakowania ze szkła,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brązowym – odpady i opakowania ulegające biodegradacji.</w:t>
      </w:r>
    </w:p>
    <w:p w:rsidR="00DB3893" w:rsidRDefault="00DB389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szarym </w:t>
      </w:r>
      <w:r w:rsidR="008E50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popiół</w:t>
      </w:r>
    </w:p>
    <w:p w:rsidR="008E508E" w:rsidRDefault="008E508E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Istebnej Tartak w sąsiedztwie gminnej oczyszczalni ścieków funkcjonował gminny Punkt Selektywnie Zebranych Odpadów Komunalnych (PSZOK), do którego mieszkańcy w ramach ponoszonej opłaty mogli oddawać selektywnie zebrane odpady. PSZOK był czynny dwa razy w miesiącu, w każdą pierwszą i trzecią sobotę miesiąca.</w:t>
      </w:r>
    </w:p>
    <w:p w:rsidR="007851B0" w:rsidRPr="00F514AE" w:rsidRDefault="00843A83" w:rsidP="00F514A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zużyty sprzęt elektryczny i elektroniczny , odpady wielkogab</w:t>
      </w:r>
      <w:r w:rsidR="00A60087">
        <w:rPr>
          <w:rFonts w:ascii="Times New Roman" w:hAnsi="Times New Roman" w:cs="Times New Roman"/>
          <w:sz w:val="24"/>
          <w:szCs w:val="24"/>
        </w:rPr>
        <w:t>arytowe odbierane są dwa razy w</w:t>
      </w:r>
      <w:r>
        <w:rPr>
          <w:rFonts w:ascii="Times New Roman" w:hAnsi="Times New Roman" w:cs="Times New Roman"/>
          <w:sz w:val="24"/>
          <w:szCs w:val="24"/>
        </w:rPr>
        <w:t xml:space="preserve"> roku , w terminach określonych w harmonogramie odbioru odpadów.</w:t>
      </w:r>
    </w:p>
    <w:p w:rsidR="007851B0" w:rsidRDefault="007851B0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83" w:rsidRPr="00AF646C" w:rsidRDefault="00843A83" w:rsidP="00843A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MOŻLIWOŚCI PRZETWARZANIA ZMIESZANYCH ODPADÓW KOMUNALNYCH,ODPADÓW ZIELONYCH ORAZ POZSTAŁOŚCI Z SORTOWANIA I POZOSTAŁOŚCI Z MECHANICZNO – BIOLOGICZNEGO PRZETWARZANIA ODPADÓW K</w:t>
      </w:r>
      <w:r>
        <w:rPr>
          <w:rFonts w:ascii="Times New Roman" w:hAnsi="Times New Roman" w:cs="Times New Roman"/>
          <w:b/>
          <w:sz w:val="24"/>
          <w:szCs w:val="24"/>
        </w:rPr>
        <w:t>OMUNALNYCH PRZEZNACZONYCH DO SKŁ</w:t>
      </w:r>
      <w:r w:rsidRPr="00AF646C">
        <w:rPr>
          <w:rFonts w:ascii="Times New Roman" w:hAnsi="Times New Roman" w:cs="Times New Roman"/>
          <w:b/>
          <w:sz w:val="24"/>
          <w:szCs w:val="24"/>
        </w:rPr>
        <w:t>ADOWANIA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Zgodnie z art.9e ust.1 pkt 2 ustawy o utrzymaniu czystości i porządku w gminach podmiot odbierający odpady komunalne od właścicieli nieruchomości jest obowiązany do przekazywania zmieszanych odpadów komunalnych oraz odpadów zielonych bezpośrednio do regionalnej instalacji do przetwarzania odpadów komunalnych. W myśl art.9l ust.2 , w przypadku wystąpienia awarii regionalnej instalacji do przetwarzania zmieszanych odpadów komunalnych lub w innych przypadkach uniemożliwiających przyjmowanie zmieszanych odpadów komunalnych lub odpadów zielonych odpady te przekazuje się do instalacji przewidzianych do zastępczej obsługi tego regionu.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Według Planu Gospodarki Odpadami Województwa Śląskiego, obszar województwa jest podzielony na cztery regiony gospodarki odpadami. Gmina Istebna wchodzi w skład regionu trzeciego. Zgodnie z założeniami planu niesegregowane odpady komunalne, odpady zielone oraz pozostałości z sortowania odpadów komunalnych przeznaczonych do składowania z terenu Gminy Istebna mogły  być kierowane do następujących instalacji regionalnych :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Instalacja MBP – PPHU KOMART Sp.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Szybowa 44 ,44- 194 Knurów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Instalacja MBP – COFINCO POLAND sp.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Dębina 36 ,44- 335 Jastrzębie Zdrój.</w:t>
      </w:r>
    </w:p>
    <w:p w:rsidR="00585E7F" w:rsidRDefault="00585E7F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1EB3">
        <w:rPr>
          <w:rFonts w:ascii="Times New Roman" w:hAnsi="Times New Roman" w:cs="Times New Roman"/>
          <w:sz w:val="24"/>
          <w:szCs w:val="24"/>
        </w:rPr>
        <w:t xml:space="preserve"> MBP –</w:t>
      </w:r>
      <w:r w:rsidR="00FA2E88">
        <w:rPr>
          <w:rFonts w:ascii="Times New Roman" w:hAnsi="Times New Roman" w:cs="Times New Roman"/>
          <w:sz w:val="24"/>
          <w:szCs w:val="24"/>
        </w:rPr>
        <w:t xml:space="preserve"> Zakła</w:t>
      </w:r>
      <w:r w:rsidR="00541EB3">
        <w:rPr>
          <w:rFonts w:ascii="Times New Roman" w:hAnsi="Times New Roman" w:cs="Times New Roman"/>
          <w:sz w:val="24"/>
          <w:szCs w:val="24"/>
        </w:rPr>
        <w:t>d oczyszczania miasta „Tros-Eko” 43-440 Goleszów ul. Przemysłowa 12.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5E7F">
        <w:rPr>
          <w:rFonts w:ascii="Times New Roman" w:hAnsi="Times New Roman" w:cs="Times New Roman"/>
          <w:sz w:val="24"/>
          <w:szCs w:val="24"/>
        </w:rPr>
        <w:t>W 2015 r. zebrano 316,4</w:t>
      </w:r>
      <w:r>
        <w:rPr>
          <w:rFonts w:ascii="Times New Roman" w:hAnsi="Times New Roman" w:cs="Times New Roman"/>
          <w:sz w:val="24"/>
          <w:szCs w:val="24"/>
        </w:rPr>
        <w:t xml:space="preserve"> Mg  niesegregowanych (zmieszanych ) odpadów komunalnych – 20 03 01. Odpady te w całości poddane zostały przetwarzaniu w procesach odzysku R12. Odpady zmieszane pochodzące z terenu Gminy Istebna zostały przekazane do następujących instalacji regionalnych.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A3A7A01" wp14:editId="70673CEC">
            <wp:extent cx="5486400" cy="32004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83" w:rsidRDefault="00B75CDC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</w:t>
      </w:r>
      <w:r w:rsidR="00843A83">
        <w:rPr>
          <w:rFonts w:ascii="Times New Roman" w:hAnsi="Times New Roman" w:cs="Times New Roman"/>
          <w:sz w:val="24"/>
          <w:szCs w:val="24"/>
        </w:rPr>
        <w:t xml:space="preserve"> r. z t</w:t>
      </w:r>
      <w:r w:rsidR="00883137">
        <w:rPr>
          <w:rFonts w:ascii="Times New Roman" w:hAnsi="Times New Roman" w:cs="Times New Roman"/>
          <w:sz w:val="24"/>
          <w:szCs w:val="24"/>
        </w:rPr>
        <w:t>erenu Gminy Istebna zebrano 54,7</w:t>
      </w:r>
      <w:r w:rsidR="00843A83">
        <w:rPr>
          <w:rFonts w:ascii="Times New Roman" w:hAnsi="Times New Roman" w:cs="Times New Roman"/>
          <w:sz w:val="24"/>
          <w:szCs w:val="24"/>
        </w:rPr>
        <w:t xml:space="preserve"> Mg odpadów ulegających biodegradacji – 20 02 01. Odpady te w całości zostały poddane kompostowaniu .</w:t>
      </w:r>
    </w:p>
    <w:p w:rsidR="00843A83" w:rsidRPr="00E861BC" w:rsidRDefault="00B75CDC" w:rsidP="00E861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analizowanym 2015</w:t>
      </w:r>
      <w:r w:rsidR="00843A83">
        <w:rPr>
          <w:rFonts w:ascii="Times New Roman" w:hAnsi="Times New Roman" w:cs="Times New Roman"/>
          <w:sz w:val="24"/>
          <w:szCs w:val="24"/>
        </w:rPr>
        <w:t xml:space="preserve"> roku nie zostały wyodrębnione odpady będące pozostałościami z sortowania odpadów komunalnych  przeznaczonych do składowania-  19 12 12.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83" w:rsidRPr="00E645D0" w:rsidRDefault="00843A83" w:rsidP="00843A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D0">
        <w:rPr>
          <w:rFonts w:ascii="Times New Roman" w:hAnsi="Times New Roman" w:cs="Times New Roman"/>
          <w:b/>
          <w:sz w:val="24"/>
          <w:szCs w:val="24"/>
        </w:rPr>
        <w:t xml:space="preserve"> POTRZEBY INWESTYCYJNE ZWIĄZANE Z GOSPODAROWANIEM ODPADAMI KOMUNALNYMI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analizowanym okresie w Gminie Istebna nie realizowano inwestycji związanych z gospodarowaniem odpadami komunalnymi.</w:t>
      </w:r>
    </w:p>
    <w:p w:rsidR="00E861BC" w:rsidRDefault="00E861BC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83" w:rsidRDefault="00843A83" w:rsidP="00843A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D5">
        <w:rPr>
          <w:rFonts w:ascii="Times New Roman" w:hAnsi="Times New Roman" w:cs="Times New Roman"/>
          <w:b/>
          <w:sz w:val="24"/>
          <w:szCs w:val="24"/>
        </w:rPr>
        <w:t>KOSZTY PONIESIONE W ZWIĄZKU Z ODBIERANIEM , ODZYSKIEM, RECYKLINGIEM I UNIESZKODLIWIANIEM ODPADÓW KOMUNALNYCH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odbiorem, odzyskiem, recyklingiem i unieszkodliwianiem odpadów komunalnych wynosiły w miesiącach :</w:t>
      </w:r>
    </w:p>
    <w:p w:rsidR="00843A83" w:rsidRPr="00870FCA" w:rsidRDefault="00B75CDC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01 stycznia do 31 grudnia 2015</w:t>
      </w:r>
      <w:r w:rsidR="00843A83">
        <w:rPr>
          <w:rFonts w:ascii="Times New Roman" w:hAnsi="Times New Roman" w:cs="Times New Roman"/>
          <w:sz w:val="24"/>
          <w:szCs w:val="24"/>
        </w:rPr>
        <w:t xml:space="preserve"> r. -  </w:t>
      </w:r>
      <w:r>
        <w:rPr>
          <w:rFonts w:ascii="Times New Roman" w:hAnsi="Times New Roman" w:cs="Times New Roman"/>
          <w:sz w:val="24"/>
          <w:szCs w:val="24"/>
        </w:rPr>
        <w:t>90 .484,71</w:t>
      </w:r>
      <w:r w:rsidR="00843A83">
        <w:rPr>
          <w:rFonts w:ascii="Times New Roman" w:hAnsi="Times New Roman" w:cs="Times New Roman"/>
          <w:sz w:val="24"/>
          <w:szCs w:val="24"/>
        </w:rPr>
        <w:t xml:space="preserve"> zł/m-c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Liczba osób zameldowanych w Gminie Iste</w:t>
      </w:r>
      <w:r w:rsidR="00B75CDC">
        <w:rPr>
          <w:rFonts w:ascii="Times New Roman" w:hAnsi="Times New Roman" w:cs="Times New Roman"/>
          <w:sz w:val="24"/>
          <w:szCs w:val="24"/>
        </w:rPr>
        <w:t>bna na dzień 31 grudnia 2015 r. wynosiła 11 999</w:t>
      </w:r>
      <w:r>
        <w:rPr>
          <w:rFonts w:ascii="Times New Roman" w:hAnsi="Times New Roman" w:cs="Times New Roman"/>
          <w:sz w:val="24"/>
          <w:szCs w:val="24"/>
        </w:rPr>
        <w:t>.  Systemem gospodarowania odpadami komu</w:t>
      </w:r>
      <w:r w:rsidR="00B75CDC">
        <w:rPr>
          <w:rFonts w:ascii="Times New Roman" w:hAnsi="Times New Roman" w:cs="Times New Roman"/>
          <w:sz w:val="24"/>
          <w:szCs w:val="24"/>
        </w:rPr>
        <w:t>nalnymi na dzień 31 grudnia 2015</w:t>
      </w:r>
      <w:r w:rsidR="00FA2E88">
        <w:rPr>
          <w:rFonts w:ascii="Times New Roman" w:hAnsi="Times New Roman" w:cs="Times New Roman"/>
          <w:sz w:val="24"/>
          <w:szCs w:val="24"/>
        </w:rPr>
        <w:t xml:space="preserve"> r. objęto 10 770</w:t>
      </w:r>
      <w:r>
        <w:rPr>
          <w:rFonts w:ascii="Times New Roman" w:hAnsi="Times New Roman" w:cs="Times New Roman"/>
          <w:sz w:val="24"/>
          <w:szCs w:val="24"/>
        </w:rPr>
        <w:t xml:space="preserve"> mieszkańców. Różnica pomiędzy liczbą osób zdeklarowanych a zameldowanych na terenie Gminy Istebna wynika z faktu, że osoby te mieszkają na terenie innych gmin bądź poza granicami kraju, co zostało wyjaśnione w składanych przez właścicieli nieruchomości oświadczeniach i informacjach.</w:t>
      </w:r>
    </w:p>
    <w:p w:rsidR="00843A83" w:rsidRDefault="00843A83" w:rsidP="00843A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509">
        <w:rPr>
          <w:rFonts w:ascii="Times New Roman" w:hAnsi="Times New Roman" w:cs="Times New Roman"/>
          <w:b/>
          <w:sz w:val="24"/>
          <w:szCs w:val="24"/>
        </w:rPr>
        <w:t>LICZBA WŁAŚC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90509">
        <w:rPr>
          <w:rFonts w:ascii="Times New Roman" w:hAnsi="Times New Roman" w:cs="Times New Roman"/>
          <w:b/>
          <w:sz w:val="24"/>
          <w:szCs w:val="24"/>
        </w:rPr>
        <w:t>CIELI NIERUCHOMOŚCI,KTÓRZY NIE ZAWARLI UMOWY,O KTÓREJ MOWA W art.6 ust.1, W IMIENIU KTÓRYCH GMINA POWINNA PODJĄĆ DZIAŁANIA,O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509">
        <w:rPr>
          <w:rFonts w:ascii="Times New Roman" w:hAnsi="Times New Roman" w:cs="Times New Roman"/>
          <w:b/>
          <w:sz w:val="24"/>
          <w:szCs w:val="24"/>
        </w:rPr>
        <w:t>KTÓRYCH MOWA W art.6 ust.6-12.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analizowanym okresie nie stwierdzono braku posiadania umów na odbiór odpadów z nieruchomości nie objętych systemem gospodarowania odpadami komunalnymi przez Gminę Istebna.</w:t>
      </w:r>
    </w:p>
    <w:p w:rsidR="00843A83" w:rsidRPr="00304123" w:rsidRDefault="00843A83" w:rsidP="00843A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23">
        <w:rPr>
          <w:rFonts w:ascii="Times New Roman" w:hAnsi="Times New Roman" w:cs="Times New Roman"/>
          <w:b/>
          <w:sz w:val="24"/>
          <w:szCs w:val="24"/>
        </w:rPr>
        <w:t>ILOŚĆ ODPADÓW KOMUNALNYCH WYTWARZANYCH NA TERENIE GMINY ISTEBNA</w:t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Poniższa tabela przedstawia ilości poszczególnych odpadów komunalnych wytworzonych na t</w:t>
      </w:r>
      <w:r w:rsidR="00FA2E88">
        <w:rPr>
          <w:rFonts w:ascii="Times New Roman" w:hAnsi="Times New Roman" w:cs="Times New Roman"/>
          <w:sz w:val="24"/>
          <w:szCs w:val="24"/>
        </w:rPr>
        <w:t>erenie Gminy Istebna w roku 2015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977"/>
        <w:gridCol w:w="2835"/>
      </w:tblGrid>
      <w:tr w:rsidR="00843A83" w:rsidTr="0048426E">
        <w:tc>
          <w:tcPr>
            <w:tcW w:w="2365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odebranych odpadów komunalnych</w:t>
            </w:r>
          </w:p>
        </w:tc>
        <w:tc>
          <w:tcPr>
            <w:tcW w:w="2977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odebranych odpadów komunalnych</w:t>
            </w:r>
          </w:p>
        </w:tc>
        <w:tc>
          <w:tcPr>
            <w:tcW w:w="2835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odebranych odpadów komunalnych [Mg]</w:t>
            </w:r>
          </w:p>
        </w:tc>
      </w:tr>
      <w:tr w:rsidR="00843A83" w:rsidTr="0048426E">
        <w:tc>
          <w:tcPr>
            <w:tcW w:w="2365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2977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Niesegregowane </w:t>
            </w:r>
          </w:p>
          <w:p w:rsidR="00843A83" w:rsidRDefault="00843A83" w:rsidP="004842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(zmieszane) odpady komunalne</w:t>
            </w:r>
          </w:p>
        </w:tc>
        <w:tc>
          <w:tcPr>
            <w:tcW w:w="2835" w:type="dxa"/>
          </w:tcPr>
          <w:p w:rsidR="00843A83" w:rsidRDefault="00FA2E88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316,4</w:t>
            </w:r>
          </w:p>
        </w:tc>
      </w:tr>
      <w:tr w:rsidR="00843A83" w:rsidTr="0048426E">
        <w:tc>
          <w:tcPr>
            <w:tcW w:w="2365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977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835" w:type="dxa"/>
          </w:tcPr>
          <w:p w:rsidR="00843A83" w:rsidRDefault="00FA2E88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843A83" w:rsidTr="0048426E">
        <w:tc>
          <w:tcPr>
            <w:tcW w:w="2365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2977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2835" w:type="dxa"/>
          </w:tcPr>
          <w:p w:rsidR="00843A83" w:rsidRDefault="00FA2E88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297,7</w:t>
            </w:r>
          </w:p>
        </w:tc>
      </w:tr>
      <w:tr w:rsidR="00843A83" w:rsidTr="0048426E">
        <w:tc>
          <w:tcPr>
            <w:tcW w:w="2365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2977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835" w:type="dxa"/>
          </w:tcPr>
          <w:p w:rsidR="00843A83" w:rsidRDefault="00FA2E88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843A83" w:rsidTr="0048426E">
        <w:tc>
          <w:tcPr>
            <w:tcW w:w="2365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2977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Opakowania z papieru i tektury</w:t>
            </w:r>
          </w:p>
        </w:tc>
        <w:tc>
          <w:tcPr>
            <w:tcW w:w="2835" w:type="dxa"/>
          </w:tcPr>
          <w:p w:rsidR="00843A83" w:rsidRDefault="00FA2E88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3A83" w:rsidTr="0048426E">
        <w:tc>
          <w:tcPr>
            <w:tcW w:w="2365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2977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835" w:type="dxa"/>
          </w:tcPr>
          <w:p w:rsidR="00843A83" w:rsidRDefault="00FA2E88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843A83" w:rsidTr="0048426E">
        <w:tc>
          <w:tcPr>
            <w:tcW w:w="2365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  <w:p w:rsidR="00843A83" w:rsidRDefault="00843A83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835" w:type="dxa"/>
          </w:tcPr>
          <w:p w:rsidR="00843A83" w:rsidRDefault="00FA2E88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43A83" w:rsidTr="0048426E">
        <w:tc>
          <w:tcPr>
            <w:tcW w:w="2365" w:type="dxa"/>
          </w:tcPr>
          <w:p w:rsidR="00843A83" w:rsidRPr="00A13D2B" w:rsidRDefault="00843A83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7" w:type="dxa"/>
          </w:tcPr>
          <w:p w:rsidR="00843A83" w:rsidRDefault="00843A83" w:rsidP="004842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2835" w:type="dxa"/>
          </w:tcPr>
          <w:p w:rsidR="00843A83" w:rsidRDefault="00FA2E88" w:rsidP="004842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3A83" w:rsidTr="0048426E">
        <w:tc>
          <w:tcPr>
            <w:tcW w:w="2365" w:type="dxa"/>
            <w:vAlign w:val="center"/>
          </w:tcPr>
          <w:p w:rsidR="00843A83" w:rsidRDefault="00843A83" w:rsidP="00484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160103</w:t>
            </w:r>
          </w:p>
          <w:p w:rsidR="00843A83" w:rsidRDefault="00843A83" w:rsidP="00484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43A83" w:rsidRPr="0007762C" w:rsidRDefault="00843A83" w:rsidP="00484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2835" w:type="dxa"/>
            <w:vAlign w:val="center"/>
          </w:tcPr>
          <w:p w:rsidR="00843A83" w:rsidRDefault="00FA2E88" w:rsidP="00484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43A83" w:rsidTr="0048426E">
        <w:tc>
          <w:tcPr>
            <w:tcW w:w="2365" w:type="dxa"/>
            <w:vAlign w:val="center"/>
          </w:tcPr>
          <w:p w:rsidR="00843A83" w:rsidRPr="00721197" w:rsidRDefault="00843A83" w:rsidP="00484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200135 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977" w:type="dxa"/>
            <w:vAlign w:val="center"/>
          </w:tcPr>
          <w:p w:rsidR="00843A83" w:rsidRDefault="00843A83" w:rsidP="00484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3A83" w:rsidRPr="0007762C" w:rsidRDefault="00843A83" w:rsidP="00484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2835" w:type="dxa"/>
            <w:vAlign w:val="center"/>
          </w:tcPr>
          <w:p w:rsidR="00843A83" w:rsidRDefault="00FA2E88" w:rsidP="00484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43A83" w:rsidTr="0048426E">
        <w:tc>
          <w:tcPr>
            <w:tcW w:w="2365" w:type="dxa"/>
            <w:vAlign w:val="center"/>
          </w:tcPr>
          <w:p w:rsidR="00843A83" w:rsidRDefault="00843A83" w:rsidP="00484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200136</w:t>
            </w:r>
          </w:p>
        </w:tc>
        <w:tc>
          <w:tcPr>
            <w:tcW w:w="2977" w:type="dxa"/>
            <w:vAlign w:val="center"/>
          </w:tcPr>
          <w:p w:rsidR="00843A83" w:rsidRDefault="00843A83" w:rsidP="00484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200121,200123 i 200135</w:t>
            </w:r>
          </w:p>
          <w:p w:rsidR="00843A83" w:rsidRPr="0007762C" w:rsidRDefault="00843A83" w:rsidP="00484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43A83" w:rsidRDefault="00FA2E88" w:rsidP="00484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A2E88" w:rsidTr="0048426E">
        <w:tc>
          <w:tcPr>
            <w:tcW w:w="2365" w:type="dxa"/>
            <w:vAlign w:val="center"/>
          </w:tcPr>
          <w:p w:rsidR="00FA2E88" w:rsidRDefault="00FA2E88" w:rsidP="00484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200199</w:t>
            </w:r>
          </w:p>
        </w:tc>
        <w:tc>
          <w:tcPr>
            <w:tcW w:w="2977" w:type="dxa"/>
            <w:vAlign w:val="center"/>
          </w:tcPr>
          <w:p w:rsidR="00FA2E88" w:rsidRDefault="00FA2E88" w:rsidP="00484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niewymienione frakcje zbierane w sposób selektywny</w:t>
            </w:r>
          </w:p>
          <w:p w:rsidR="00FA2E88" w:rsidRDefault="00FA2E88" w:rsidP="00484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(popiół)</w:t>
            </w:r>
          </w:p>
        </w:tc>
        <w:tc>
          <w:tcPr>
            <w:tcW w:w="2835" w:type="dxa"/>
            <w:vAlign w:val="center"/>
          </w:tcPr>
          <w:p w:rsidR="00FA2E88" w:rsidRDefault="00FA2E88" w:rsidP="00484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248,5</w:t>
            </w:r>
          </w:p>
        </w:tc>
      </w:tr>
    </w:tbl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83" w:rsidRDefault="00843A83" w:rsidP="00E861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1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19101D" wp14:editId="1C8BF6C3">
            <wp:extent cx="5308979" cy="3828197"/>
            <wp:effectExtent l="0" t="0" r="25400" b="203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61BC" w:rsidRDefault="00E861BC" w:rsidP="00E861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BC" w:rsidRDefault="00E861BC" w:rsidP="00E861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BC" w:rsidRDefault="00E861BC" w:rsidP="00E861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BC" w:rsidRDefault="00E861BC" w:rsidP="00E861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Łączna ilość odpadów komunalnych zebranych z terenu Gminy Istebna w 2015 r. wyniosła 1268 Mg, z czego 316,4 Mg stanowiły odpady niesegregowane (zmieszane) odpady komunalne, czyli 58,47 %  ogółu zebranych odpadów komunalnych.</w:t>
      </w:r>
    </w:p>
    <w:p w:rsidR="00E861BC" w:rsidRPr="00752521" w:rsidRDefault="00E861BC" w:rsidP="007525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Selektywne zbieranie odpadów „u źródła” prowadzi 97% właścicieli nieruchomości zamieszkałych na terenie Gminy Istebna.</w:t>
      </w:r>
    </w:p>
    <w:p w:rsidR="00E861BC" w:rsidRDefault="00E861BC" w:rsidP="00E861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BC" w:rsidRPr="00752521" w:rsidRDefault="00E861BC" w:rsidP="00752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DE" w:rsidRDefault="00E27ADE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DE" w:rsidRPr="00E27ADE" w:rsidRDefault="008B6524" w:rsidP="00E27A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5EA156" wp14:editId="176019CA">
            <wp:extent cx="5486400" cy="3200400"/>
            <wp:effectExtent l="3810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83" w:rsidRDefault="00843A83" w:rsidP="00843A8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83" w:rsidRPr="009C27E3" w:rsidRDefault="00843A83" w:rsidP="00843A8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9C27E3">
        <w:rPr>
          <w:rFonts w:ascii="Times New Roman" w:hAnsi="Times New Roman" w:cs="Times New Roman"/>
          <w:sz w:val="24"/>
          <w:szCs w:val="24"/>
        </w:rPr>
        <w:t>Zgodnie z rozporządzeniem Ministra Środowiska z dnia 29 maja 2012 r. w sprawie poziomów recyklingu, przygotowania do ponownego użycia i odzysku innymi metodami niektórych frakcji odpadów komunalnych (Dz.U. z 2012 r. Nr 645) gminy są zobowiązane do osiągnięcia w poszczególnych latach następujących poziomów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194"/>
        <w:gridCol w:w="733"/>
        <w:gridCol w:w="822"/>
        <w:gridCol w:w="783"/>
        <w:gridCol w:w="783"/>
        <w:gridCol w:w="733"/>
        <w:gridCol w:w="834"/>
        <w:gridCol w:w="834"/>
        <w:gridCol w:w="802"/>
        <w:gridCol w:w="1088"/>
      </w:tblGrid>
      <w:tr w:rsidR="00843A83" w:rsidRPr="00C719C9" w:rsidTr="0048426E">
        <w:tc>
          <w:tcPr>
            <w:tcW w:w="2245" w:type="dxa"/>
          </w:tcPr>
          <w:p w:rsidR="00843A83" w:rsidRPr="00C719C9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1" w:type="dxa"/>
            <w:gridSpan w:val="9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recyklingu i przygotowania do ponownego użycia [%]</w:t>
            </w:r>
          </w:p>
        </w:tc>
      </w:tr>
      <w:tr w:rsidR="00843A83" w:rsidRPr="00C719C9" w:rsidTr="0048426E">
        <w:tc>
          <w:tcPr>
            <w:tcW w:w="2245" w:type="dxa"/>
            <w:vMerge w:val="restart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,metal, tworzywa sztuczne ,szkło</w:t>
            </w:r>
          </w:p>
        </w:tc>
        <w:tc>
          <w:tcPr>
            <w:tcW w:w="68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2012r. </w:t>
            </w:r>
          </w:p>
        </w:tc>
        <w:tc>
          <w:tcPr>
            <w:tcW w:w="826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2013r.</w:t>
            </w:r>
          </w:p>
        </w:tc>
        <w:tc>
          <w:tcPr>
            <w:tcW w:w="78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2014r.</w:t>
            </w:r>
          </w:p>
        </w:tc>
        <w:tc>
          <w:tcPr>
            <w:tcW w:w="78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696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2016r. </w:t>
            </w:r>
          </w:p>
        </w:tc>
        <w:tc>
          <w:tcPr>
            <w:tcW w:w="838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2017r.</w:t>
            </w:r>
          </w:p>
        </w:tc>
        <w:tc>
          <w:tcPr>
            <w:tcW w:w="838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2018r.</w:t>
            </w:r>
          </w:p>
        </w:tc>
        <w:tc>
          <w:tcPr>
            <w:tcW w:w="80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2019r.</w:t>
            </w:r>
          </w:p>
        </w:tc>
        <w:tc>
          <w:tcPr>
            <w:tcW w:w="1103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2020r.</w:t>
            </w:r>
          </w:p>
        </w:tc>
      </w:tr>
      <w:tr w:rsidR="00843A83" w:rsidRPr="00C719C9" w:rsidTr="0048426E">
        <w:tc>
          <w:tcPr>
            <w:tcW w:w="2245" w:type="dxa"/>
            <w:vMerge/>
          </w:tcPr>
          <w:p w:rsidR="00843A83" w:rsidRPr="00C719C9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6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8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6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8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8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3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</w:tbl>
    <w:p w:rsidR="00843A83" w:rsidRPr="009C27E3" w:rsidRDefault="00843A83" w:rsidP="00843A8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843A83" w:rsidRPr="00AD3765" w:rsidRDefault="00843A83" w:rsidP="00843A83">
      <w:pPr>
        <w:rPr>
          <w:rFonts w:ascii="Times New Roman" w:hAnsi="Times New Roman" w:cs="Times New Roman"/>
          <w:sz w:val="24"/>
          <w:szCs w:val="24"/>
        </w:rPr>
      </w:pPr>
      <w:r w:rsidRPr="009C27E3">
        <w:rPr>
          <w:rFonts w:ascii="Times New Roman" w:hAnsi="Times New Roman" w:cs="Times New Roman"/>
          <w:sz w:val="24"/>
          <w:szCs w:val="24"/>
        </w:rPr>
        <w:t>W Gmini</w:t>
      </w:r>
      <w:r w:rsidR="008B6524">
        <w:rPr>
          <w:rFonts w:ascii="Times New Roman" w:hAnsi="Times New Roman" w:cs="Times New Roman"/>
          <w:sz w:val="24"/>
          <w:szCs w:val="24"/>
        </w:rPr>
        <w:t>e Istebna poziom ten w roku 2015</w:t>
      </w:r>
      <w:r w:rsidRPr="009C27E3">
        <w:rPr>
          <w:rFonts w:ascii="Times New Roman" w:hAnsi="Times New Roman" w:cs="Times New Roman"/>
          <w:sz w:val="24"/>
          <w:szCs w:val="24"/>
        </w:rPr>
        <w:t xml:space="preserve"> został osiągnięty i wyniósł  </w:t>
      </w:r>
      <w:r w:rsidR="008B6524">
        <w:rPr>
          <w:rFonts w:ascii="Times New Roman" w:hAnsi="Times New Roman" w:cs="Times New Roman"/>
          <w:b/>
          <w:sz w:val="24"/>
          <w:szCs w:val="24"/>
        </w:rPr>
        <w:t>47,8</w:t>
      </w:r>
      <w:r w:rsidRPr="009C27E3">
        <w:rPr>
          <w:rFonts w:ascii="Times New Roman" w:hAnsi="Times New Roman" w:cs="Times New Roman"/>
          <w:b/>
          <w:sz w:val="24"/>
          <w:szCs w:val="24"/>
        </w:rPr>
        <w:t>%.</w:t>
      </w:r>
    </w:p>
    <w:p w:rsidR="00843A83" w:rsidRDefault="00843A83" w:rsidP="00843A83">
      <w:pPr>
        <w:tabs>
          <w:tab w:val="left" w:pos="1290"/>
        </w:tabs>
      </w:pPr>
      <w:r>
        <w:lastRenderedPageBreak/>
        <w:tab/>
      </w:r>
    </w:p>
    <w:p w:rsidR="00843A83" w:rsidRDefault="00843A83" w:rsidP="00843A83">
      <w:pPr>
        <w:tabs>
          <w:tab w:val="left" w:pos="1290"/>
        </w:tabs>
      </w:pPr>
    </w:p>
    <w:p w:rsidR="00843A83" w:rsidRDefault="00843A83" w:rsidP="00843A83">
      <w:pPr>
        <w:tabs>
          <w:tab w:val="left" w:pos="1290"/>
        </w:tabs>
      </w:pPr>
      <w:r>
        <w:rPr>
          <w:noProof/>
          <w:lang w:eastAsia="pl-PL"/>
        </w:rPr>
        <w:drawing>
          <wp:inline distT="0" distB="0" distL="0" distR="0" wp14:anchorId="0A9AC7D7" wp14:editId="6EF14BDC">
            <wp:extent cx="5486400" cy="32004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3A83" w:rsidRDefault="00843A83" w:rsidP="00843A83">
      <w:pPr>
        <w:tabs>
          <w:tab w:val="left" w:pos="1290"/>
        </w:tabs>
      </w:pPr>
    </w:p>
    <w:p w:rsidR="00843A83" w:rsidRDefault="00843A83" w:rsidP="00843A83">
      <w:pPr>
        <w:tabs>
          <w:tab w:val="left" w:pos="1290"/>
        </w:tabs>
        <w:rPr>
          <w:b/>
        </w:rPr>
      </w:pPr>
    </w:p>
    <w:p w:rsidR="00843A83" w:rsidRPr="00706342" w:rsidRDefault="00843A83" w:rsidP="00843A83">
      <w:pPr>
        <w:pStyle w:val="Akapitzlist"/>
        <w:rPr>
          <w:sz w:val="16"/>
          <w:szCs w:val="16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</w:tblGrid>
      <w:tr w:rsidR="00843A83" w:rsidRPr="00C719C9" w:rsidTr="0048426E">
        <w:tc>
          <w:tcPr>
            <w:tcW w:w="2093" w:type="dxa"/>
          </w:tcPr>
          <w:p w:rsidR="00843A83" w:rsidRPr="00C719C9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gridSpan w:val="9"/>
          </w:tcPr>
          <w:p w:rsidR="00843A83" w:rsidRPr="00706342" w:rsidRDefault="00843A83" w:rsidP="0048426E">
            <w:pPr>
              <w:pStyle w:val="Akapitzlist"/>
              <w:rPr>
                <w:sz w:val="16"/>
                <w:szCs w:val="16"/>
              </w:rPr>
            </w:pPr>
            <w:r w:rsidRPr="00706342">
              <w:rPr>
                <w:sz w:val="16"/>
                <w:szCs w:val="16"/>
              </w:rPr>
              <w:t>Poziomy ograniczenia masy odpadów komunalnych ulegających biodegradacji przekazywanych do składowania w stosunku do masy tych odpadów wytworzonych w</w:t>
            </w:r>
          </w:p>
          <w:p w:rsidR="00843A83" w:rsidRPr="00C719C9" w:rsidRDefault="00843A83" w:rsidP="004842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342">
              <w:rPr>
                <w:sz w:val="16"/>
                <w:szCs w:val="16"/>
              </w:rPr>
              <w:t>1995 r.[%]</w:t>
            </w:r>
          </w:p>
        </w:tc>
      </w:tr>
      <w:tr w:rsidR="00843A83" w:rsidRPr="00C719C9" w:rsidTr="0048426E">
        <w:tc>
          <w:tcPr>
            <w:tcW w:w="2093" w:type="dxa"/>
            <w:vMerge w:val="restart"/>
          </w:tcPr>
          <w:p w:rsidR="00843A83" w:rsidRPr="001E3FC2" w:rsidRDefault="00843A83" w:rsidP="0048426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3F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Dopuszczalny poziom masy odpadów komunalnych ulegających biodegradacji przekazywanych do składowania w stosunku do masy tych odpadów wytworzonych w 1995r.</w:t>
            </w:r>
          </w:p>
        </w:tc>
        <w:tc>
          <w:tcPr>
            <w:tcW w:w="850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2012r. </w:t>
            </w:r>
          </w:p>
        </w:tc>
        <w:tc>
          <w:tcPr>
            <w:tcW w:w="851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lipca 2013r.</w:t>
            </w:r>
          </w:p>
        </w:tc>
        <w:tc>
          <w:tcPr>
            <w:tcW w:w="709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2014r</w:t>
            </w:r>
          </w:p>
        </w:tc>
        <w:tc>
          <w:tcPr>
            <w:tcW w:w="850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851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2016r. </w:t>
            </w:r>
          </w:p>
        </w:tc>
        <w:tc>
          <w:tcPr>
            <w:tcW w:w="850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2017r.</w:t>
            </w:r>
          </w:p>
        </w:tc>
        <w:tc>
          <w:tcPr>
            <w:tcW w:w="851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2018r.</w:t>
            </w:r>
          </w:p>
        </w:tc>
        <w:tc>
          <w:tcPr>
            <w:tcW w:w="850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2019r.</w:t>
            </w:r>
          </w:p>
        </w:tc>
        <w:tc>
          <w:tcPr>
            <w:tcW w:w="851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2020r.</w:t>
            </w:r>
          </w:p>
        </w:tc>
      </w:tr>
      <w:tr w:rsidR="00843A83" w:rsidRPr="00C719C9" w:rsidTr="0048426E">
        <w:trPr>
          <w:trHeight w:val="2644"/>
        </w:trPr>
        <w:tc>
          <w:tcPr>
            <w:tcW w:w="2093" w:type="dxa"/>
            <w:vMerge/>
          </w:tcPr>
          <w:p w:rsidR="00843A83" w:rsidRPr="00C719C9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1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1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</w:tcPr>
          <w:p w:rsidR="00843A83" w:rsidRPr="008461A5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</w:tr>
    </w:tbl>
    <w:p w:rsidR="00843A83" w:rsidRPr="009C27E3" w:rsidRDefault="00843A83" w:rsidP="00843A8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9C27E3">
        <w:rPr>
          <w:rFonts w:ascii="Times New Roman" w:hAnsi="Times New Roman" w:cs="Times New Roman"/>
          <w:sz w:val="24"/>
          <w:szCs w:val="24"/>
        </w:rPr>
        <w:t>W Gminie Istebna poziom ograniczenia masy odpadów komunalnych ulegających biodegradacji przekazyw</w:t>
      </w:r>
      <w:r w:rsidR="00A26F60">
        <w:rPr>
          <w:rFonts w:ascii="Times New Roman" w:hAnsi="Times New Roman" w:cs="Times New Roman"/>
          <w:sz w:val="24"/>
          <w:szCs w:val="24"/>
        </w:rPr>
        <w:t>anych do składowania w roku 2015</w:t>
      </w:r>
      <w:r w:rsidRPr="009C27E3">
        <w:rPr>
          <w:rFonts w:ascii="Times New Roman" w:hAnsi="Times New Roman" w:cs="Times New Roman"/>
          <w:sz w:val="24"/>
          <w:szCs w:val="24"/>
        </w:rPr>
        <w:t xml:space="preserve"> wyniósł 0,00%</w:t>
      </w:r>
    </w:p>
    <w:p w:rsidR="00843A83" w:rsidRPr="009C27E3" w:rsidRDefault="00843A83" w:rsidP="00843A83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27E3">
        <w:rPr>
          <w:rFonts w:ascii="Times New Roman" w:hAnsi="Times New Roman" w:cs="Times New Roman"/>
          <w:sz w:val="24"/>
          <w:szCs w:val="24"/>
        </w:rPr>
        <w:lastRenderedPageBreak/>
        <w:t>W analizowanym okresie łączna masa selektywnie odebranych odpadów komunalnych ulegając</w:t>
      </w:r>
      <w:r w:rsidR="00A26F60">
        <w:rPr>
          <w:rFonts w:ascii="Times New Roman" w:hAnsi="Times New Roman" w:cs="Times New Roman"/>
          <w:sz w:val="24"/>
          <w:szCs w:val="24"/>
        </w:rPr>
        <w:t xml:space="preserve">ych biodegradacji wyniosła 84,7 </w:t>
      </w:r>
      <w:r w:rsidRPr="009C27E3">
        <w:rPr>
          <w:rFonts w:ascii="Times New Roman" w:hAnsi="Times New Roman" w:cs="Times New Roman"/>
          <w:sz w:val="24"/>
          <w:szCs w:val="24"/>
        </w:rPr>
        <w:t>Mg. Odpady te w całości zostały poddane recyklingowi materiałowemu ( 15 01 01 ) oraz kompostowaniu ( 20 02 01 ).</w:t>
      </w:r>
    </w:p>
    <w:p w:rsidR="00843A83" w:rsidRDefault="00843A83" w:rsidP="00843A83">
      <w:pPr>
        <w:tabs>
          <w:tab w:val="left" w:pos="1290"/>
        </w:tabs>
        <w:jc w:val="both"/>
      </w:pPr>
      <w:r w:rsidRPr="009C27E3">
        <w:rPr>
          <w:rFonts w:ascii="Times New Roman" w:hAnsi="Times New Roman" w:cs="Times New Roman"/>
          <w:sz w:val="24"/>
          <w:szCs w:val="24"/>
        </w:rPr>
        <w:t xml:space="preserve">Osiągnięty poziom ograniczenia masy odpadów komunalnych  ulegających biodegradacji   przekazanych do składowania wynika z faktu, że niesegregowane (zmieszane) odpady komunalne o kodzie 20 03 01 w całości zostały poddane innym niż składowanie procesom przetwarzania oraz nie powstały po </w:t>
      </w:r>
      <w:proofErr w:type="spellStart"/>
      <w:r w:rsidRPr="009C27E3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Pr="009C27E3">
        <w:rPr>
          <w:rFonts w:ascii="Times New Roman" w:hAnsi="Times New Roman" w:cs="Times New Roman"/>
          <w:sz w:val="24"/>
          <w:szCs w:val="24"/>
        </w:rPr>
        <w:t xml:space="preserve"> – biologicznym przetwarzaniu zmieszanych odpadów komunalnych odpady o kodzie 19 12 12 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02"/>
        <w:gridCol w:w="734"/>
        <w:gridCol w:w="821"/>
        <w:gridCol w:w="782"/>
        <w:gridCol w:w="782"/>
        <w:gridCol w:w="733"/>
        <w:gridCol w:w="833"/>
        <w:gridCol w:w="833"/>
        <w:gridCol w:w="801"/>
        <w:gridCol w:w="1085"/>
      </w:tblGrid>
      <w:tr w:rsidR="00843A83" w:rsidRPr="0083577F" w:rsidTr="0048426E">
        <w:tc>
          <w:tcPr>
            <w:tcW w:w="2245" w:type="dxa"/>
          </w:tcPr>
          <w:p w:rsidR="00843A83" w:rsidRPr="00C719C9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1" w:type="dxa"/>
            <w:gridSpan w:val="9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recyklingu , przygotowania do ponownego użycia i odzysku innymi metodami  [%]</w:t>
            </w:r>
          </w:p>
        </w:tc>
      </w:tr>
      <w:tr w:rsidR="00843A83" w:rsidRPr="0083577F" w:rsidTr="0048426E">
        <w:tc>
          <w:tcPr>
            <w:tcW w:w="2245" w:type="dxa"/>
            <w:vMerge w:val="restart"/>
          </w:tcPr>
          <w:p w:rsidR="00843A83" w:rsidRPr="0083577F" w:rsidRDefault="00843A83" w:rsidP="0048426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niż niebezpieczne odpady  budowlane i rozbiórkowe</w:t>
            </w:r>
          </w:p>
        </w:tc>
        <w:tc>
          <w:tcPr>
            <w:tcW w:w="68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2012r. </w:t>
            </w:r>
          </w:p>
        </w:tc>
        <w:tc>
          <w:tcPr>
            <w:tcW w:w="826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2013r.</w:t>
            </w:r>
          </w:p>
        </w:tc>
        <w:tc>
          <w:tcPr>
            <w:tcW w:w="78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2014r.</w:t>
            </w:r>
          </w:p>
        </w:tc>
        <w:tc>
          <w:tcPr>
            <w:tcW w:w="78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696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2016r. </w:t>
            </w:r>
          </w:p>
        </w:tc>
        <w:tc>
          <w:tcPr>
            <w:tcW w:w="838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2017r.</w:t>
            </w:r>
          </w:p>
        </w:tc>
        <w:tc>
          <w:tcPr>
            <w:tcW w:w="838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2018r.</w:t>
            </w:r>
          </w:p>
        </w:tc>
        <w:tc>
          <w:tcPr>
            <w:tcW w:w="80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2019r.</w:t>
            </w:r>
          </w:p>
        </w:tc>
        <w:tc>
          <w:tcPr>
            <w:tcW w:w="1103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2020r.</w:t>
            </w:r>
          </w:p>
        </w:tc>
      </w:tr>
      <w:tr w:rsidR="00843A83" w:rsidRPr="0083577F" w:rsidTr="0048426E">
        <w:tc>
          <w:tcPr>
            <w:tcW w:w="2245" w:type="dxa"/>
            <w:vMerge/>
          </w:tcPr>
          <w:p w:rsidR="00843A83" w:rsidRPr="00C719C9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6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8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6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8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8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5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3" w:type="dxa"/>
          </w:tcPr>
          <w:p w:rsidR="00843A83" w:rsidRPr="0083577F" w:rsidRDefault="00843A83" w:rsidP="004842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</w:tbl>
    <w:p w:rsidR="00843A83" w:rsidRDefault="00843A83" w:rsidP="00843A83">
      <w:pPr>
        <w:tabs>
          <w:tab w:val="left" w:pos="1290"/>
        </w:tabs>
        <w:jc w:val="both"/>
      </w:pPr>
    </w:p>
    <w:p w:rsidR="00843A83" w:rsidRPr="009C27E3" w:rsidRDefault="00A26F60" w:rsidP="00843A8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2015</w:t>
      </w:r>
      <w:r w:rsidR="00843A83" w:rsidRPr="009C27E3">
        <w:rPr>
          <w:rFonts w:ascii="Times New Roman" w:hAnsi="Times New Roman" w:cs="Times New Roman"/>
          <w:sz w:val="24"/>
          <w:szCs w:val="24"/>
        </w:rPr>
        <w:t xml:space="preserve"> podmioty odbierające odpady komunalne od właścicieli nieruchomości  w sp</w:t>
      </w:r>
      <w:r w:rsidR="00E50FC5">
        <w:rPr>
          <w:rFonts w:ascii="Times New Roman" w:hAnsi="Times New Roman" w:cs="Times New Roman"/>
          <w:sz w:val="24"/>
          <w:szCs w:val="24"/>
        </w:rPr>
        <w:t>rawozdaniach przekazywanych do Wójta G</w:t>
      </w:r>
      <w:bookmarkStart w:id="0" w:name="_GoBack"/>
      <w:bookmarkEnd w:id="0"/>
      <w:r w:rsidR="00843A83" w:rsidRPr="009C27E3">
        <w:rPr>
          <w:rFonts w:ascii="Times New Roman" w:hAnsi="Times New Roman" w:cs="Times New Roman"/>
          <w:sz w:val="24"/>
          <w:szCs w:val="24"/>
        </w:rPr>
        <w:t>miny nie wykazały odpadów o kodach :17 01 01,17 01 02,17 01 03,17 01 07,17 02 01,17 02 02,17 02 03,17 03 02,17 04 01,17 04 02,17 04 03,17 04 04,17 04 05,17 04 06,17 04 07,17 04 11,17 05 08,17 06 04,17 08 02,17 09 04,ex 20 03 99 inne niż niebezpieczne odpady budowlane.</w:t>
      </w:r>
    </w:p>
    <w:p w:rsidR="00901364" w:rsidRDefault="00E50FC5"/>
    <w:sectPr w:rsidR="0090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3B7B"/>
    <w:multiLevelType w:val="hybridMultilevel"/>
    <w:tmpl w:val="2884A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83"/>
    <w:rsid w:val="00036DCD"/>
    <w:rsid w:val="000564AC"/>
    <w:rsid w:val="0024745C"/>
    <w:rsid w:val="00541EB3"/>
    <w:rsid w:val="00571D8C"/>
    <w:rsid w:val="00585E7F"/>
    <w:rsid w:val="00683FE3"/>
    <w:rsid w:val="006B5DF7"/>
    <w:rsid w:val="00752521"/>
    <w:rsid w:val="007851B0"/>
    <w:rsid w:val="007D5432"/>
    <w:rsid w:val="00843A83"/>
    <w:rsid w:val="00883137"/>
    <w:rsid w:val="008B6524"/>
    <w:rsid w:val="008E508E"/>
    <w:rsid w:val="008F050C"/>
    <w:rsid w:val="009216C0"/>
    <w:rsid w:val="009430E1"/>
    <w:rsid w:val="00994E56"/>
    <w:rsid w:val="00A26F60"/>
    <w:rsid w:val="00A60087"/>
    <w:rsid w:val="00A874B8"/>
    <w:rsid w:val="00AB7BB8"/>
    <w:rsid w:val="00AD3765"/>
    <w:rsid w:val="00B75CDC"/>
    <w:rsid w:val="00B97E6D"/>
    <w:rsid w:val="00CE66CC"/>
    <w:rsid w:val="00D0041B"/>
    <w:rsid w:val="00DB3893"/>
    <w:rsid w:val="00E27ADE"/>
    <w:rsid w:val="00E50FC5"/>
    <w:rsid w:val="00E861BC"/>
    <w:rsid w:val="00F02C84"/>
    <w:rsid w:val="00F514AE"/>
    <w:rsid w:val="00F523E9"/>
    <w:rsid w:val="00F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A83"/>
    <w:pPr>
      <w:ind w:left="720"/>
      <w:contextualSpacing/>
    </w:pPr>
  </w:style>
  <w:style w:type="table" w:styleId="Tabela-Siatka">
    <w:name w:val="Table Grid"/>
    <w:basedOn w:val="Standardowy"/>
    <w:uiPriority w:val="59"/>
    <w:rsid w:val="0084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A83"/>
    <w:pPr>
      <w:ind w:left="720"/>
      <w:contextualSpacing/>
    </w:pPr>
  </w:style>
  <w:style w:type="table" w:styleId="Tabela-Siatka">
    <w:name w:val="Table Grid"/>
    <w:basedOn w:val="Standardowy"/>
    <w:uiPriority w:val="59"/>
    <w:rsid w:val="0084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Ilość zmieszanych odpadów komunalnych odebranych w 2015 r. z terenu Gminy Istebna [Mg]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odpadów zmieszanych odebranych w 2014 r. z terenu Gminy Istebna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Tros -Eko</c:v>
                </c:pt>
                <c:pt idx="1">
                  <c:v>Cofinco poland Sp. z o.o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27.1</c:v>
                </c:pt>
                <c:pt idx="1">
                  <c:v>289.3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788268093282599"/>
          <c:y val="1.990710019907100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Ilości zebranych odpadów komunalnych w 2015 r.w [Mg]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Arkusz1!$A$2:$A$8</c:f>
              <c:strCache>
                <c:ptCount val="7"/>
                <c:pt idx="0">
                  <c:v>200301zmieszane odpady</c:v>
                </c:pt>
                <c:pt idx="1">
                  <c:v>200199 popiół</c:v>
                </c:pt>
                <c:pt idx="2">
                  <c:v>150107 opakowania ze szkła</c:v>
                </c:pt>
                <c:pt idx="3">
                  <c:v>150102 opakowania z tworzyw sztucznych</c:v>
                </c:pt>
                <c:pt idx="4">
                  <c:v>150101 opakowania z papieru i tektury</c:v>
                </c:pt>
                <c:pt idx="5">
                  <c:v>200201odpady ulegające biodegradacji</c:v>
                </c:pt>
                <c:pt idx="6">
                  <c:v>150106 zmieszane odpady opakowaniowe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316.39999999999998</c:v>
                </c:pt>
                <c:pt idx="1">
                  <c:v>248.5</c:v>
                </c:pt>
                <c:pt idx="2">
                  <c:v>118.2</c:v>
                </c:pt>
                <c:pt idx="3">
                  <c:v>134.19999999999999</c:v>
                </c:pt>
                <c:pt idx="4">
                  <c:v>30</c:v>
                </c:pt>
                <c:pt idx="5">
                  <c:v>54.7</c:v>
                </c:pt>
                <c:pt idx="6">
                  <c:v>297.7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Ilość selektywnie zebranych odadów komunalnych w 2015 r. [Mg]</a:t>
            </a:r>
          </a:p>
          <a:p>
            <a:pPr>
              <a:defRPr/>
            </a:pPr>
            <a:endParaRPr lang="pl-PL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901574803149608E-2"/>
          <c:y val="0.26187382827146605"/>
          <c:w val="0.6345487022455526"/>
          <c:h val="0.6505580552430946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selektywnie zebranych odadów komunalnych w 2014 r.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Arkusz1!$A$2:$A$6</c:f>
              <c:strCache>
                <c:ptCount val="5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06 zmieszane odpady opakowaniowe</c:v>
                </c:pt>
                <c:pt idx="3">
                  <c:v>15 01 07 opakowania ze szkła</c:v>
                </c:pt>
                <c:pt idx="4">
                  <c:v>200201 odpady ulegające biodegradacji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30</c:v>
                </c:pt>
                <c:pt idx="1">
                  <c:v>134.19999999999999</c:v>
                </c:pt>
                <c:pt idx="2">
                  <c:v>297.7</c:v>
                </c:pt>
                <c:pt idx="3">
                  <c:v>118.2</c:v>
                </c:pt>
                <c:pt idx="4">
                  <c:v>54.7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Ilość selektywnie zebranych odpadów</a:t>
            </a:r>
            <a:r>
              <a:rPr lang="pl-PL"/>
              <a:t> komunalnych</a:t>
            </a:r>
            <a:r>
              <a:rPr lang="en-US"/>
              <a:t> ulegających biodegradacji</a:t>
            </a:r>
            <a:endParaRPr lang="pl-PL"/>
          </a:p>
          <a:p>
            <a:pPr>
              <a:defRPr/>
            </a:pPr>
            <a:r>
              <a:rPr lang="en-US"/>
              <a:t> w 201</a:t>
            </a:r>
            <a:r>
              <a:rPr lang="pl-PL"/>
              <a:t>5</a:t>
            </a:r>
            <a:r>
              <a:rPr lang="en-US"/>
              <a:t> r</a:t>
            </a:r>
            <a:r>
              <a:rPr lang="pl-PL"/>
              <a:t>.</a:t>
            </a:r>
            <a:r>
              <a:rPr lang="en-US"/>
              <a:t> [Mg]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selektywnie zebranych odpadów ulegających biodegradacji w 2014 r [Mg]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15 01 01 opkaowania z papieru i tektury</c:v>
                </c:pt>
                <c:pt idx="1">
                  <c:v>20 02 01 odpady ulegające biodegradacji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30</c:v>
                </c:pt>
                <c:pt idx="1">
                  <c:v>54.7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10</Pages>
  <Words>1671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zosik</dc:creator>
  <cp:lastModifiedBy>zosik</cp:lastModifiedBy>
  <cp:revision>19</cp:revision>
  <dcterms:created xsi:type="dcterms:W3CDTF">2016-04-11T11:57:00Z</dcterms:created>
  <dcterms:modified xsi:type="dcterms:W3CDTF">2016-04-19T07:36:00Z</dcterms:modified>
</cp:coreProperties>
</file>